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01" w:rsidRPr="00941001" w:rsidRDefault="00941001" w:rsidP="00941001">
      <w:pPr>
        <w:pStyle w:val="ConsPlusNormal"/>
        <w:jc w:val="center"/>
        <w:rPr>
          <w:sz w:val="28"/>
          <w:szCs w:val="28"/>
        </w:rPr>
      </w:pPr>
      <w:bookmarkStart w:id="0" w:name="P445"/>
      <w:bookmarkEnd w:id="0"/>
      <w:r w:rsidRPr="00941001">
        <w:rPr>
          <w:sz w:val="28"/>
          <w:szCs w:val="28"/>
        </w:rPr>
        <w:t>Оценочный лист</w:t>
      </w:r>
    </w:p>
    <w:p w:rsidR="00941001" w:rsidRPr="00941001" w:rsidRDefault="00941001" w:rsidP="00941001">
      <w:pPr>
        <w:pStyle w:val="ConsPlusNormal"/>
        <w:jc w:val="center"/>
        <w:rPr>
          <w:sz w:val="28"/>
          <w:szCs w:val="28"/>
        </w:rPr>
      </w:pPr>
      <w:r w:rsidRPr="00941001">
        <w:rPr>
          <w:sz w:val="28"/>
          <w:szCs w:val="28"/>
        </w:rPr>
        <w:t>для расчета индекса готовности к отопительному периоду</w:t>
      </w:r>
    </w:p>
    <w:p w:rsidR="00941001" w:rsidRPr="00941001" w:rsidRDefault="00941001" w:rsidP="00941001">
      <w:pPr>
        <w:pStyle w:val="ConsPlusNormal"/>
        <w:jc w:val="center"/>
        <w:rPr>
          <w:sz w:val="28"/>
          <w:szCs w:val="28"/>
        </w:rPr>
      </w:pPr>
      <w:r w:rsidRPr="00941001">
        <w:rPr>
          <w:sz w:val="28"/>
          <w:szCs w:val="28"/>
        </w:rPr>
        <w:t>муниципального образования</w:t>
      </w:r>
    </w:p>
    <w:p w:rsidR="00941001" w:rsidRPr="00941001" w:rsidRDefault="00941001" w:rsidP="00941001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22"/>
        <w:gridCol w:w="2377"/>
        <w:gridCol w:w="2171"/>
        <w:gridCol w:w="1271"/>
        <w:gridCol w:w="1665"/>
        <w:gridCol w:w="2358"/>
        <w:gridCol w:w="1478"/>
        <w:gridCol w:w="1400"/>
      </w:tblGrid>
      <w:tr w:rsidR="00941001" w:rsidRPr="00941001" w:rsidTr="005761F6">
        <w:tc>
          <w:tcPr>
            <w:tcW w:w="313" w:type="dxa"/>
            <w:vAlign w:val="center"/>
          </w:tcPr>
          <w:p w:rsidR="00941001" w:rsidRPr="00941001" w:rsidRDefault="005761F6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41001" w:rsidRPr="0094100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16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Обязательное требование</w:t>
            </w:r>
          </w:p>
        </w:tc>
        <w:tc>
          <w:tcPr>
            <w:tcW w:w="1403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86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Показатель</w:t>
            </w:r>
          </w:p>
        </w:tc>
        <w:tc>
          <w:tcPr>
            <w:tcW w:w="774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Вес показателя</w:t>
            </w:r>
          </w:p>
        </w:tc>
        <w:tc>
          <w:tcPr>
            <w:tcW w:w="998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893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848" w:type="dxa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941001" w:rsidRPr="00941001" w:rsidTr="005761F6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941001" w:rsidRPr="00941001" w:rsidRDefault="00941001" w:rsidP="00576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ИНДЕКС ГОТОВНОСТИ</w:t>
            </w:r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И</w:t>
            </w:r>
            <w:r w:rsidRPr="00941001">
              <w:rPr>
                <w:sz w:val="24"/>
                <w:szCs w:val="24"/>
                <w:vertAlign w:val="subscript"/>
              </w:rPr>
              <w:t>мо</w:t>
            </w:r>
            <w:proofErr w:type="spellEnd"/>
            <w:r w:rsidRPr="00941001">
              <w:rPr>
                <w:sz w:val="24"/>
                <w:szCs w:val="24"/>
              </w:rPr>
              <w:t xml:space="preserve"> =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941001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41001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941001">
              <w:rPr>
                <w:sz w:val="24"/>
                <w:szCs w:val="24"/>
              </w:rPr>
              <w:t xml:space="preserve"> * 0,65 +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оценка</w:t>
            </w:r>
            <w:proofErr w:type="spellEnd"/>
            <w:r w:rsidRPr="00941001">
              <w:rPr>
                <w:sz w:val="24"/>
                <w:szCs w:val="24"/>
              </w:rPr>
              <w:t xml:space="preserve"> * 0,35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941001">
              <w:rPr>
                <w:sz w:val="24"/>
                <w:szCs w:val="24"/>
              </w:rPr>
              <w:t xml:space="preserve">Выполнить требования, установленные </w:t>
            </w:r>
            <w:hyperlink r:id="rId6">
              <w:r w:rsidRPr="00941001">
                <w:rPr>
                  <w:color w:val="0000FF"/>
                  <w:sz w:val="24"/>
                  <w:szCs w:val="24"/>
                </w:rPr>
                <w:t>частью 3 статьи 20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w:anchor="P69">
              <w:r w:rsidRPr="00941001">
                <w:rPr>
                  <w:color w:val="0000FF"/>
                  <w:sz w:val="24"/>
                  <w:szCs w:val="24"/>
                </w:rPr>
                <w:t>подпункт 8.1 пункта 8</w:t>
              </w:r>
            </w:hyperlink>
            <w:r w:rsidRPr="00941001">
              <w:rPr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140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7">
              <w:r w:rsidRPr="00941001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941001">
              <w:rPr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0,65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941001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41001">
              <w:rPr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941001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41001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941001">
              <w:rPr>
                <w:sz w:val="24"/>
                <w:szCs w:val="24"/>
              </w:rPr>
              <w:t xml:space="preserve"> =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  <w:r w:rsidRPr="00941001">
              <w:rPr>
                <w:sz w:val="24"/>
                <w:szCs w:val="24"/>
              </w:rPr>
              <w:t xml:space="preserve"> * 0,4 +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схем</w:t>
            </w:r>
            <w:proofErr w:type="spellEnd"/>
            <w:r w:rsidRPr="00941001">
              <w:rPr>
                <w:sz w:val="24"/>
                <w:szCs w:val="24"/>
              </w:rPr>
              <w:t xml:space="preserve"> * 0,3 +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бесхоз</w:t>
            </w:r>
            <w:proofErr w:type="spellEnd"/>
            <w:r w:rsidRPr="00941001">
              <w:rPr>
                <w:sz w:val="24"/>
                <w:szCs w:val="24"/>
              </w:rPr>
              <w:t xml:space="preserve"> * 0,3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31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Иметь порядок (план) действий по ликвидации последствий аварийных ситуаций в сфере теплоснабжения в муниципальном образовании (</w:t>
            </w:r>
            <w:hyperlink r:id="rId8">
              <w:r w:rsidRPr="00941001">
                <w:rPr>
                  <w:color w:val="0000FF"/>
                  <w:sz w:val="24"/>
                  <w:szCs w:val="24"/>
                </w:rPr>
                <w:t>пункт 1 части 3 статьи 20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140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(</w:t>
            </w:r>
            <w:hyperlink w:anchor="P75">
              <w:r w:rsidRPr="00941001">
                <w:rPr>
                  <w:color w:val="0000FF"/>
                  <w:sz w:val="24"/>
                  <w:szCs w:val="24"/>
                </w:rPr>
                <w:t>подпункт 8.3.1 пункта 8</w:t>
              </w:r>
            </w:hyperlink>
            <w:r w:rsidRPr="00941001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128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Показатель наличия порядка (плана) действий по ликвидации последствий аварийных ситуаций в сфере теплоснабжения в муниципальном образовании</w:t>
            </w: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0,4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Наличие - 1</w:t>
            </w:r>
          </w:p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1.2</w:t>
            </w:r>
          </w:p>
        </w:tc>
        <w:tc>
          <w:tcPr>
            <w:tcW w:w="131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Иметь утвержденную актуализированную схему теплоснабжения в соответствии с </w:t>
            </w:r>
            <w:hyperlink r:id="rId9">
              <w:r w:rsidRPr="00941001">
                <w:rPr>
                  <w:color w:val="0000FF"/>
                  <w:sz w:val="24"/>
                  <w:szCs w:val="24"/>
                </w:rPr>
                <w:t>частью 3 статьи 23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 (</w:t>
            </w:r>
            <w:hyperlink r:id="rId10">
              <w:r w:rsidRPr="00941001">
                <w:rPr>
                  <w:color w:val="0000FF"/>
                  <w:sz w:val="24"/>
                  <w:szCs w:val="24"/>
                </w:rPr>
                <w:t>пункт 2 части 3 статьи 20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140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Утвержденная актуализированная схема теплоснабжения, в соответствии с требованиями </w:t>
            </w:r>
            <w:hyperlink r:id="rId11">
              <w:r w:rsidRPr="00941001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41001">
              <w:rPr>
                <w:sz w:val="24"/>
                <w:szCs w:val="24"/>
              </w:rPr>
              <w:t xml:space="preserve"> Правительства Российской Федерации от 22 февраля 2012 г. N 154 (</w:t>
            </w:r>
            <w:hyperlink w:anchor="P84">
              <w:r w:rsidRPr="00941001">
                <w:rPr>
                  <w:color w:val="0000FF"/>
                  <w:sz w:val="24"/>
                  <w:szCs w:val="24"/>
                </w:rPr>
                <w:t>подпункт 8.3.2 пункта</w:t>
              </w:r>
            </w:hyperlink>
            <w:r w:rsidRPr="00941001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128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Показатель наличия утвержденной актуализированной схемы теплоснабжения</w:t>
            </w: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0,3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схем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Наличие - 1</w:t>
            </w:r>
          </w:p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1.3</w:t>
            </w:r>
          </w:p>
        </w:tc>
        <w:tc>
          <w:tcPr>
            <w:tcW w:w="131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Обеспечить подготовку к </w:t>
            </w:r>
            <w:r w:rsidRPr="00941001">
              <w:rPr>
                <w:sz w:val="24"/>
                <w:szCs w:val="24"/>
              </w:rPr>
              <w:lastRenderedPageBreak/>
              <w:t xml:space="preserve">отопительному периоду бесхозяйных объектов теплоснабжения, в отношении которых в соответствии с </w:t>
            </w:r>
            <w:hyperlink r:id="rId12">
              <w:r w:rsidRPr="00941001">
                <w:rPr>
                  <w:color w:val="0000FF"/>
                  <w:sz w:val="24"/>
                  <w:szCs w:val="24"/>
                </w:rPr>
                <w:t>частью 6.4 статьи 15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 не определена организация по содержанию и обслуживанию (</w:t>
            </w:r>
            <w:hyperlink r:id="rId13">
              <w:r w:rsidRPr="00941001">
                <w:rPr>
                  <w:color w:val="0000FF"/>
                  <w:sz w:val="24"/>
                  <w:szCs w:val="24"/>
                </w:rPr>
                <w:t>пункт 3 части 3 статьи 20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140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941001">
              <w:rPr>
                <w:sz w:val="24"/>
                <w:szCs w:val="24"/>
              </w:rPr>
              <w:lastRenderedPageBreak/>
              <w:t xml:space="preserve">Документы, предусмотренные </w:t>
            </w:r>
            <w:hyperlink w:anchor="P97">
              <w:r w:rsidRPr="00941001">
                <w:rPr>
                  <w:color w:val="0000FF"/>
                  <w:sz w:val="24"/>
                  <w:szCs w:val="24"/>
                </w:rPr>
                <w:t>подпунктами 9.3.1</w:t>
              </w:r>
            </w:hyperlink>
            <w:r w:rsidRPr="00941001">
              <w:rPr>
                <w:sz w:val="24"/>
                <w:szCs w:val="24"/>
              </w:rPr>
              <w:t xml:space="preserve">, </w:t>
            </w:r>
            <w:hyperlink w:anchor="P99">
              <w:r w:rsidRPr="00941001">
                <w:rPr>
                  <w:color w:val="0000FF"/>
                  <w:sz w:val="24"/>
                  <w:szCs w:val="24"/>
                </w:rPr>
                <w:t>9.3.3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114">
              <w:r w:rsidRPr="00941001">
                <w:rPr>
                  <w:color w:val="0000FF"/>
                  <w:sz w:val="24"/>
                  <w:szCs w:val="24"/>
                </w:rPr>
                <w:t>9.3.12</w:t>
              </w:r>
            </w:hyperlink>
            <w:r w:rsidRPr="00941001">
              <w:rPr>
                <w:sz w:val="24"/>
                <w:szCs w:val="24"/>
              </w:rPr>
              <w:t xml:space="preserve">, </w:t>
            </w:r>
            <w:hyperlink w:anchor="P116">
              <w:r w:rsidRPr="00941001">
                <w:rPr>
                  <w:color w:val="0000FF"/>
                  <w:sz w:val="24"/>
                  <w:szCs w:val="24"/>
                </w:rPr>
                <w:t>9.3.14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120">
              <w:r w:rsidRPr="00941001">
                <w:rPr>
                  <w:color w:val="0000FF"/>
                  <w:sz w:val="24"/>
                  <w:szCs w:val="24"/>
                </w:rPr>
                <w:t>9.3.16</w:t>
              </w:r>
            </w:hyperlink>
            <w:r w:rsidRPr="00941001">
              <w:rPr>
                <w:sz w:val="24"/>
                <w:szCs w:val="24"/>
              </w:rPr>
              <w:t xml:space="preserve">, </w:t>
            </w:r>
            <w:hyperlink w:anchor="P122">
              <w:r w:rsidRPr="00941001">
                <w:rPr>
                  <w:color w:val="0000FF"/>
                  <w:sz w:val="24"/>
                  <w:szCs w:val="24"/>
                </w:rPr>
                <w:t>9.3.18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128">
              <w:r w:rsidRPr="00941001">
                <w:rPr>
                  <w:color w:val="0000FF"/>
                  <w:sz w:val="24"/>
                  <w:szCs w:val="24"/>
                </w:rPr>
                <w:t>9.3.24</w:t>
              </w:r>
            </w:hyperlink>
            <w:r w:rsidRPr="00941001">
              <w:rPr>
                <w:sz w:val="24"/>
                <w:szCs w:val="24"/>
              </w:rPr>
              <w:t xml:space="preserve">, </w:t>
            </w:r>
            <w:hyperlink w:anchor="P133">
              <w:r w:rsidRPr="00941001">
                <w:rPr>
                  <w:color w:val="0000FF"/>
                  <w:sz w:val="24"/>
                  <w:szCs w:val="24"/>
                </w:rPr>
                <w:t>9.3.26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138">
              <w:r w:rsidRPr="00941001">
                <w:rPr>
                  <w:color w:val="0000FF"/>
                  <w:sz w:val="24"/>
                  <w:szCs w:val="24"/>
                </w:rPr>
                <w:t>9.3.28 пункта 9</w:t>
              </w:r>
            </w:hyperlink>
            <w:r w:rsidRPr="00941001">
              <w:rPr>
                <w:sz w:val="24"/>
                <w:szCs w:val="24"/>
              </w:rPr>
              <w:t xml:space="preserve"> Правил, и документы, подтверждающие выполнение требований по обеспечению готовности к отопительному периоду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теплоснабжения, в соответствии с требованиями </w:t>
            </w:r>
            <w:hyperlink r:id="rId14">
              <w:r w:rsidRPr="00941001">
                <w:rPr>
                  <w:color w:val="0000FF"/>
                  <w:sz w:val="24"/>
                  <w:szCs w:val="24"/>
                </w:rPr>
                <w:t>части 6.1 статьи 15</w:t>
              </w:r>
            </w:hyperlink>
            <w:r w:rsidRPr="00941001">
              <w:rPr>
                <w:sz w:val="24"/>
                <w:szCs w:val="24"/>
              </w:rPr>
              <w:t xml:space="preserve"> Федерального закона о теплоснабжении (</w:t>
            </w:r>
            <w:hyperlink w:anchor="P85">
              <w:r w:rsidRPr="00941001">
                <w:rPr>
                  <w:color w:val="0000FF"/>
                  <w:sz w:val="24"/>
                  <w:szCs w:val="24"/>
                </w:rPr>
                <w:t>подпункт 8.3.3 пункта 8</w:t>
              </w:r>
              <w:proofErr w:type="gramEnd"/>
            </w:hyperlink>
            <w:r w:rsidRPr="00941001">
              <w:rPr>
                <w:sz w:val="24"/>
                <w:szCs w:val="24"/>
              </w:rPr>
              <w:t xml:space="preserve"> </w:t>
            </w:r>
            <w:proofErr w:type="gramStart"/>
            <w:r w:rsidRPr="00941001">
              <w:rPr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1286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 xml:space="preserve">Показатель подготовки к </w:t>
            </w:r>
            <w:r w:rsidRPr="00941001">
              <w:rPr>
                <w:sz w:val="24"/>
                <w:szCs w:val="24"/>
              </w:rPr>
              <w:lastRenderedPageBreak/>
              <w:t>отопительному периоду бесхозяйных объектов теплоснабжения</w:t>
            </w: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бесхоз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При отсутствии бесхозяйных </w:t>
            </w:r>
            <w:r w:rsidRPr="00941001">
              <w:rPr>
                <w:sz w:val="24"/>
                <w:szCs w:val="24"/>
              </w:rPr>
              <w:lastRenderedPageBreak/>
              <w:t xml:space="preserve">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бесхоз</w:t>
            </w:r>
            <w:proofErr w:type="spellEnd"/>
            <w:r w:rsidRPr="00941001">
              <w:rPr>
                <w:sz w:val="24"/>
                <w:szCs w:val="24"/>
              </w:rPr>
              <w:t xml:space="preserve"> принимается равным 1.</w:t>
            </w:r>
          </w:p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При наличии бесхозяйных объектов теплоснабжения, для которых определена организация по содержанию и обслуживанию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бесхоз</w:t>
            </w:r>
            <w:proofErr w:type="spellEnd"/>
            <w:r w:rsidRPr="00941001">
              <w:rPr>
                <w:sz w:val="24"/>
                <w:szCs w:val="24"/>
              </w:rPr>
              <w:t xml:space="preserve"> принимается </w:t>
            </w:r>
            <w:proofErr w:type="gramStart"/>
            <w:r w:rsidRPr="00941001">
              <w:rPr>
                <w:sz w:val="24"/>
                <w:szCs w:val="24"/>
              </w:rPr>
              <w:t>равным</w:t>
            </w:r>
            <w:proofErr w:type="gramEnd"/>
            <w:r w:rsidRPr="00941001">
              <w:rPr>
                <w:sz w:val="24"/>
                <w:szCs w:val="24"/>
              </w:rPr>
              <w:t xml:space="preserve"> 1.</w:t>
            </w:r>
          </w:p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Если для бесхозяйных объектов не определена организация, которая будет осуществлять содержание и обслуживание, расчет </w:t>
            </w: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бесхоз</w:t>
            </w:r>
            <w:proofErr w:type="spellEnd"/>
            <w:r w:rsidRPr="00941001">
              <w:rPr>
                <w:sz w:val="24"/>
                <w:szCs w:val="24"/>
              </w:rPr>
              <w:t xml:space="preserve"> ведется в соответствии с </w:t>
            </w:r>
            <w:hyperlink w:anchor="P538">
              <w:r w:rsidRPr="00941001">
                <w:rPr>
                  <w:color w:val="0000FF"/>
                  <w:sz w:val="24"/>
                  <w:szCs w:val="24"/>
                </w:rPr>
                <w:t>Приложением</w:t>
              </w:r>
            </w:hyperlink>
            <w:r w:rsidRPr="00941001">
              <w:rPr>
                <w:sz w:val="24"/>
                <w:szCs w:val="24"/>
              </w:rPr>
              <w:t xml:space="preserve"> к оценочному листу </w:t>
            </w:r>
            <w:r w:rsidRPr="00941001">
              <w:rPr>
                <w:sz w:val="24"/>
                <w:szCs w:val="24"/>
              </w:rPr>
              <w:lastRenderedPageBreak/>
              <w:t>для расчета показателя подготовки бесхозяйных объектов теплоснабжения, которым не определена организация, осуществляющая содержание и обслуживание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16" w:type="dxa"/>
            <w:vMerge w:val="restart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Осуществить оценку обеспечения готовности к отопительному периоду лицами, указанными в </w:t>
            </w:r>
            <w:hyperlink w:anchor="P383">
              <w:r w:rsidRPr="00941001">
                <w:rPr>
                  <w:color w:val="0000FF"/>
                  <w:sz w:val="24"/>
                  <w:szCs w:val="24"/>
                </w:rPr>
                <w:t>подпунктах 1.2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387">
              <w:r w:rsidRPr="00941001">
                <w:rPr>
                  <w:color w:val="0000FF"/>
                  <w:sz w:val="24"/>
                  <w:szCs w:val="24"/>
                </w:rPr>
                <w:t>1.6 пункта 1</w:t>
              </w:r>
            </w:hyperlink>
            <w:r w:rsidRPr="00941001">
              <w:rPr>
                <w:sz w:val="24"/>
                <w:szCs w:val="24"/>
              </w:rPr>
              <w:t xml:space="preserve">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N 2234 (далее - Порядок) (</w:t>
            </w:r>
            <w:hyperlink w:anchor="P70">
              <w:r w:rsidRPr="00941001">
                <w:rPr>
                  <w:color w:val="0000FF"/>
                  <w:sz w:val="24"/>
                  <w:szCs w:val="24"/>
                </w:rPr>
                <w:t xml:space="preserve">подпункт </w:t>
              </w:r>
              <w:r w:rsidRPr="00941001">
                <w:rPr>
                  <w:color w:val="0000FF"/>
                  <w:sz w:val="24"/>
                  <w:szCs w:val="24"/>
                </w:rPr>
                <w:lastRenderedPageBreak/>
                <w:t>8.2 пункта 8</w:t>
              </w:r>
            </w:hyperlink>
            <w:r w:rsidRPr="00941001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1403" w:type="dxa"/>
            <w:vMerge w:val="restart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 xml:space="preserve">Выданные акты оценки обеспечения готовности к отопительному периоду, подтверждающие выполнение требований, установленных </w:t>
            </w:r>
            <w:hyperlink w:anchor="P70">
              <w:r w:rsidRPr="00941001">
                <w:rPr>
                  <w:color w:val="0000FF"/>
                  <w:sz w:val="24"/>
                  <w:szCs w:val="24"/>
                </w:rPr>
                <w:t>подпунктом 8.2 пункта 8</w:t>
              </w:r>
            </w:hyperlink>
            <w:r w:rsidRPr="00941001">
              <w:rPr>
                <w:sz w:val="24"/>
                <w:szCs w:val="24"/>
              </w:rPr>
              <w:t xml:space="preserve"> (</w:t>
            </w:r>
            <w:hyperlink w:anchor="P70">
              <w:r w:rsidRPr="00941001">
                <w:rPr>
                  <w:color w:val="0000FF"/>
                  <w:sz w:val="24"/>
                  <w:szCs w:val="24"/>
                </w:rPr>
                <w:t>подпункт 8.2 пункта 8</w:t>
              </w:r>
            </w:hyperlink>
            <w:r w:rsidRPr="00941001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1286" w:type="dxa"/>
            <w:vMerge w:val="restart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Показатель оценки обеспечения готовности к отопительному периоду лицами, указанными в </w:t>
            </w:r>
            <w:hyperlink w:anchor="P383">
              <w:r w:rsidRPr="00941001">
                <w:rPr>
                  <w:color w:val="0000FF"/>
                  <w:sz w:val="24"/>
                  <w:szCs w:val="24"/>
                </w:rPr>
                <w:t>подпунктах 1.2</w:t>
              </w:r>
            </w:hyperlink>
            <w:r w:rsidRPr="00941001">
              <w:rPr>
                <w:sz w:val="24"/>
                <w:szCs w:val="24"/>
              </w:rPr>
              <w:t xml:space="preserve"> - </w:t>
            </w:r>
            <w:hyperlink w:anchor="P387">
              <w:r w:rsidRPr="00941001">
                <w:rPr>
                  <w:color w:val="0000FF"/>
                  <w:sz w:val="24"/>
                  <w:szCs w:val="24"/>
                </w:rPr>
                <w:t>1.6 пункта 1</w:t>
              </w:r>
            </w:hyperlink>
            <w:r w:rsidRPr="00941001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0,35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41001">
              <w:rPr>
                <w:sz w:val="24"/>
                <w:szCs w:val="24"/>
              </w:rPr>
              <w:t>К</w:t>
            </w:r>
            <w:r w:rsidRPr="00941001">
              <w:rPr>
                <w:sz w:val="24"/>
                <w:szCs w:val="24"/>
                <w:vertAlign w:val="subscript"/>
              </w:rPr>
              <w:t>оценка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noProof/>
                <w:position w:val="-23"/>
                <w:sz w:val="24"/>
                <w:szCs w:val="24"/>
              </w:rPr>
              <w:drawing>
                <wp:inline distT="0" distB="0" distL="0" distR="0">
                  <wp:extent cx="1381125" cy="428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941001">
              <w:rPr>
                <w:sz w:val="24"/>
                <w:szCs w:val="24"/>
              </w:rPr>
              <w:t>l</w:t>
            </w:r>
            <w:proofErr w:type="gramEnd"/>
            <w:r w:rsidRPr="00941001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При соблюдении Порядка </w:t>
            </w:r>
            <w:proofErr w:type="spellStart"/>
            <w:r w:rsidRPr="00941001">
              <w:rPr>
                <w:sz w:val="24"/>
                <w:szCs w:val="24"/>
              </w:rPr>
              <w:t>l</w:t>
            </w:r>
            <w:r w:rsidRPr="00941001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  <w:r w:rsidRPr="00941001">
              <w:rPr>
                <w:sz w:val="24"/>
                <w:szCs w:val="24"/>
              </w:rPr>
              <w:t xml:space="preserve"> принимается </w:t>
            </w:r>
            <w:proofErr w:type="gramStart"/>
            <w:r w:rsidRPr="00941001">
              <w:rPr>
                <w:sz w:val="24"/>
                <w:szCs w:val="24"/>
              </w:rPr>
              <w:t>равным</w:t>
            </w:r>
            <w:proofErr w:type="gramEnd"/>
            <w:r w:rsidRPr="00941001">
              <w:rPr>
                <w:sz w:val="24"/>
                <w:szCs w:val="24"/>
              </w:rPr>
              <w:t xml:space="preserve"> 1.</w:t>
            </w:r>
          </w:p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При не соблюдении Порядка </w:t>
            </w:r>
            <w:proofErr w:type="spellStart"/>
            <w:r w:rsidRPr="00941001">
              <w:rPr>
                <w:sz w:val="24"/>
                <w:szCs w:val="24"/>
              </w:rPr>
              <w:t>l</w:t>
            </w:r>
            <w:r w:rsidRPr="00941001">
              <w:rPr>
                <w:sz w:val="24"/>
                <w:szCs w:val="24"/>
                <w:vertAlign w:val="subscript"/>
              </w:rPr>
              <w:t>порядок</w:t>
            </w:r>
            <w:proofErr w:type="spellEnd"/>
            <w:r w:rsidRPr="00941001">
              <w:rPr>
                <w:sz w:val="24"/>
                <w:szCs w:val="24"/>
              </w:rPr>
              <w:t xml:space="preserve"> принимается </w:t>
            </w:r>
            <w:proofErr w:type="gramStart"/>
            <w:r w:rsidRPr="00941001">
              <w:rPr>
                <w:sz w:val="24"/>
                <w:szCs w:val="24"/>
              </w:rPr>
              <w:t>равным</w:t>
            </w:r>
            <w:proofErr w:type="gramEnd"/>
            <w:r w:rsidRPr="00941001">
              <w:rPr>
                <w:sz w:val="24"/>
                <w:szCs w:val="24"/>
              </w:rPr>
              <w:t xml:space="preserve"> 0.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941001">
              <w:rPr>
                <w:sz w:val="24"/>
                <w:szCs w:val="24"/>
              </w:rPr>
              <w:t>n</w:t>
            </w:r>
            <w:proofErr w:type="gramEnd"/>
            <w:r w:rsidRPr="00941001">
              <w:rPr>
                <w:sz w:val="24"/>
                <w:szCs w:val="24"/>
                <w:vertAlign w:val="subscript"/>
              </w:rPr>
              <w:t>актов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Количество теплоснабжающих и </w:t>
            </w:r>
            <w:proofErr w:type="spellStart"/>
            <w:r w:rsidRPr="00941001">
              <w:rPr>
                <w:sz w:val="24"/>
                <w:szCs w:val="24"/>
              </w:rPr>
              <w:t>теплосетевых</w:t>
            </w:r>
            <w:proofErr w:type="spellEnd"/>
            <w:r w:rsidRPr="00941001">
              <w:rPr>
                <w:sz w:val="24"/>
                <w:szCs w:val="24"/>
              </w:rPr>
              <w:t xml:space="preserve"> организаций, владельцев тепловых сетей, не являющихся </w:t>
            </w:r>
            <w:proofErr w:type="spellStart"/>
            <w:r w:rsidRPr="00941001">
              <w:rPr>
                <w:sz w:val="24"/>
                <w:szCs w:val="24"/>
              </w:rPr>
              <w:t>теплосетевыми</w:t>
            </w:r>
            <w:proofErr w:type="spellEnd"/>
            <w:r w:rsidRPr="00941001">
              <w:rPr>
                <w:sz w:val="24"/>
                <w:szCs w:val="24"/>
              </w:rPr>
              <w:t xml:space="preserve"> организациями, прошедших оценку </w:t>
            </w:r>
            <w:r w:rsidRPr="00941001">
              <w:rPr>
                <w:sz w:val="24"/>
                <w:szCs w:val="24"/>
              </w:rPr>
              <w:lastRenderedPageBreak/>
              <w:t>готовности и получивших акт оценки обеспечения готовности к отопительному периоду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41001" w:rsidRPr="00941001" w:rsidTr="00941001">
        <w:tc>
          <w:tcPr>
            <w:tcW w:w="31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941001">
              <w:rPr>
                <w:sz w:val="24"/>
                <w:szCs w:val="24"/>
              </w:rPr>
              <w:t>n</w:t>
            </w:r>
            <w:proofErr w:type="gramEnd"/>
            <w:r w:rsidRPr="00941001">
              <w:rPr>
                <w:sz w:val="24"/>
                <w:szCs w:val="24"/>
                <w:vertAlign w:val="subscript"/>
              </w:rPr>
              <w:t>всего</w:t>
            </w:r>
            <w:proofErr w:type="spellEnd"/>
          </w:p>
        </w:tc>
        <w:tc>
          <w:tcPr>
            <w:tcW w:w="1647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  <w:r w:rsidRPr="00941001">
              <w:rPr>
                <w:sz w:val="24"/>
                <w:szCs w:val="24"/>
              </w:rPr>
              <w:t xml:space="preserve">Количество теплоснабжающих и </w:t>
            </w:r>
            <w:proofErr w:type="spellStart"/>
            <w:r w:rsidRPr="00941001">
              <w:rPr>
                <w:sz w:val="24"/>
                <w:szCs w:val="24"/>
              </w:rPr>
              <w:t>теплосетевых</w:t>
            </w:r>
            <w:proofErr w:type="spellEnd"/>
            <w:r w:rsidRPr="00941001">
              <w:rPr>
                <w:sz w:val="24"/>
                <w:szCs w:val="24"/>
              </w:rPr>
              <w:t xml:space="preserve"> организаций, владельцев тепловых сетей, не являющихся </w:t>
            </w:r>
            <w:proofErr w:type="spellStart"/>
            <w:r w:rsidRPr="00941001">
              <w:rPr>
                <w:sz w:val="24"/>
                <w:szCs w:val="24"/>
              </w:rPr>
              <w:t>теплосетевыми</w:t>
            </w:r>
            <w:proofErr w:type="spellEnd"/>
            <w:r w:rsidRPr="00941001">
              <w:rPr>
                <w:sz w:val="24"/>
                <w:szCs w:val="24"/>
              </w:rPr>
              <w:t xml:space="preserve"> организациями, всего (информация о количестве должна соответствовать схемам теплоснабжения)</w:t>
            </w:r>
          </w:p>
        </w:tc>
        <w:tc>
          <w:tcPr>
            <w:tcW w:w="893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41001" w:rsidRPr="00941001" w:rsidRDefault="00941001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5137" w:rsidRPr="00941001" w:rsidRDefault="00745137" w:rsidP="00941001">
      <w:pPr>
        <w:rPr>
          <w:szCs w:val="28"/>
        </w:rPr>
      </w:pPr>
    </w:p>
    <w:sectPr w:rsidR="00745137" w:rsidRPr="00941001" w:rsidSect="00941001">
      <w:headerReference w:type="default" r:id="rId16"/>
      <w:pgSz w:w="16838" w:h="11905" w:orient="landscape"/>
      <w:pgMar w:top="426" w:right="426" w:bottom="850" w:left="1134" w:header="426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37" w:rsidRDefault="00745137" w:rsidP="00745137">
      <w:r>
        <w:separator/>
      </w:r>
    </w:p>
  </w:endnote>
  <w:endnote w:type="continuationSeparator" w:id="0">
    <w:p w:rsidR="00745137" w:rsidRDefault="00745137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37" w:rsidRDefault="00745137" w:rsidP="00745137">
      <w:r>
        <w:separator/>
      </w:r>
    </w:p>
  </w:footnote>
  <w:footnote w:type="continuationSeparator" w:id="0">
    <w:p w:rsidR="00745137" w:rsidRDefault="00745137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5137" w:rsidRPr="00745137" w:rsidRDefault="006E4FBB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745137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5761F6">
          <w:rPr>
            <w:noProof/>
            <w:sz w:val="24"/>
            <w:szCs w:val="24"/>
          </w:rPr>
          <w:t>5</w:t>
        </w:r>
        <w:r w:rsidRPr="00745137">
          <w:rPr>
            <w:sz w:val="24"/>
            <w:szCs w:val="24"/>
          </w:rPr>
          <w:fldChar w:fldCharType="end"/>
        </w:r>
      </w:p>
    </w:sdtContent>
  </w:sdt>
  <w:p w:rsidR="00745137" w:rsidRPr="00745137" w:rsidRDefault="00745137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E2BE4"/>
    <w:rsid w:val="001F1B82"/>
    <w:rsid w:val="002C6CDF"/>
    <w:rsid w:val="002E1B6B"/>
    <w:rsid w:val="002F7A2A"/>
    <w:rsid w:val="00351CCD"/>
    <w:rsid w:val="003B083F"/>
    <w:rsid w:val="005761F6"/>
    <w:rsid w:val="0060398A"/>
    <w:rsid w:val="006A21E7"/>
    <w:rsid w:val="006E156A"/>
    <w:rsid w:val="006E4FBB"/>
    <w:rsid w:val="00702FA7"/>
    <w:rsid w:val="00745137"/>
    <w:rsid w:val="008D2AF7"/>
    <w:rsid w:val="00901648"/>
    <w:rsid w:val="00941001"/>
    <w:rsid w:val="00A27FDC"/>
    <w:rsid w:val="00AC300C"/>
    <w:rsid w:val="00E82A9B"/>
    <w:rsid w:val="00E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528" TargetMode="External"/><Relationship Id="rId13" Type="http://schemas.openxmlformats.org/officeDocument/2006/relationships/hyperlink" Target="https://login.consultant.ru/link/?req=doc&amp;base=LAW&amp;n=483239&amp;dst=5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9" TargetMode="External"/><Relationship Id="rId12" Type="http://schemas.openxmlformats.org/officeDocument/2006/relationships/hyperlink" Target="https://login.consultant.ru/link/?req=doc&amp;base=LAW&amp;n=483239&amp;dst=3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527" TargetMode="External"/><Relationship Id="rId11" Type="http://schemas.openxmlformats.org/officeDocument/2006/relationships/hyperlink" Target="https://login.consultant.ru/link/?req=doc&amp;base=LAW&amp;n=50129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83239&amp;dst=5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39&amp;dst=100360" TargetMode="External"/><Relationship Id="rId14" Type="http://schemas.openxmlformats.org/officeDocument/2006/relationships/hyperlink" Target="https://login.consultant.ru/link/?req=doc&amp;base=LAW&amp;n=483239&amp;dst=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4</cp:revision>
  <dcterms:created xsi:type="dcterms:W3CDTF">2025-07-24T02:29:00Z</dcterms:created>
  <dcterms:modified xsi:type="dcterms:W3CDTF">2025-07-24T05:57:00Z</dcterms:modified>
</cp:coreProperties>
</file>